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E595" w14:textId="77777777"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</w:p>
    <w:p w14:paraId="0FC38FE6" w14:textId="77777777"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 wp14:anchorId="0981DC2B" wp14:editId="55E8196A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0F4A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5C742D50" w14:textId="77777777"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14:paraId="6FFB5031" w14:textId="77777777"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23CF66" wp14:editId="2CD8585E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D36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" fillcolor="#00529f" stroked="f">
                <w10:wrap type="topAndBottom" anchorx="page"/>
              </v:rect>
            </w:pict>
          </mc:Fallback>
        </mc:AlternateContent>
      </w:r>
    </w:p>
    <w:p w14:paraId="17406ADA" w14:textId="7E76CC08" w:rsidR="00AC22F0" w:rsidRPr="006C4C2E" w:rsidRDefault="00AC22F0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 w:rsidRPr="006C4C2E">
        <w:rPr>
          <w:color w:val="365F91" w:themeColor="accent1" w:themeShade="BF"/>
          <w:sz w:val="36"/>
        </w:rPr>
        <w:t xml:space="preserve">Potvrzení technických a energetických parametrů </w:t>
      </w:r>
      <w:r w:rsidR="001936A8">
        <w:rPr>
          <w:color w:val="365F91" w:themeColor="accent1" w:themeShade="BF"/>
          <w:sz w:val="36"/>
        </w:rPr>
        <w:t>GREENGAS</w:t>
      </w:r>
      <w:r w:rsidR="008D43A3" w:rsidRPr="006C4C2E">
        <w:rPr>
          <w:color w:val="365F91" w:themeColor="accent1" w:themeShade="BF"/>
          <w:sz w:val="36"/>
        </w:rPr>
        <w:t xml:space="preserve"> </w:t>
      </w:r>
    </w:p>
    <w:p w14:paraId="1D4FFB33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14:paraId="20648A61" w14:textId="77777777" w:rsidR="008D43A3" w:rsidRPr="006C4C2E" w:rsidRDefault="008D43A3" w:rsidP="008D43A3">
      <w:pPr>
        <w:jc w:val="center"/>
        <w:rPr>
          <w:b/>
          <w:bCs/>
          <w:iCs/>
          <w:color w:val="365F91" w:themeColor="accent1" w:themeShade="BF"/>
          <w:sz w:val="32"/>
        </w:rPr>
      </w:pPr>
      <w:r w:rsidRPr="006C4C2E">
        <w:rPr>
          <w:b/>
          <w:bCs/>
          <w:iCs/>
          <w:color w:val="365F91" w:themeColor="accent1" w:themeShade="BF"/>
          <w:sz w:val="32"/>
        </w:rPr>
        <w:t>Název Projektu</w:t>
      </w:r>
    </w:p>
    <w:p w14:paraId="4C1D5D37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1D8DE6BE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67D9BFBE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279DC91F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B396FB8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57FCE4C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319F52D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75DFA8B2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20579D57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C3BE301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0807363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AD73E28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E787048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>Jméno žadatele, název společnosti</w:t>
      </w:r>
    </w:p>
    <w:p w14:paraId="3D7840BD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4958708C" w14:textId="77777777" w:rsidR="008D43A3" w:rsidRPr="006C4C2E" w:rsidRDefault="008D43A3" w:rsidP="008D43A3">
      <w:pPr>
        <w:jc w:val="both"/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 xml:space="preserve">Jméno a podpis zpracovatele </w:t>
      </w:r>
    </w:p>
    <w:p w14:paraId="60E27530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6AB69378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 xml:space="preserve">Datum zpracování  </w:t>
      </w:r>
    </w:p>
    <w:p w14:paraId="4B19D120" w14:textId="77777777" w:rsidR="001C5D6E" w:rsidRPr="006C4C2E" w:rsidRDefault="001C5D6E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  <w:sectPr w:rsidR="001C5D6E" w:rsidRPr="006C4C2E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14:paraId="38788487" w14:textId="77777777" w:rsidR="00E14485" w:rsidRDefault="00E14485">
      <w:pPr>
        <w:spacing w:line="264" w:lineRule="auto"/>
        <w:rPr>
          <w:sz w:val="36"/>
        </w:rPr>
      </w:pPr>
    </w:p>
    <w:p w14:paraId="5B1EC8B5" w14:textId="241A158A" w:rsidR="006505C8" w:rsidRDefault="00BA3A31" w:rsidP="000E40F3">
      <w:pPr>
        <w:pStyle w:val="Odstavecseseznamem"/>
        <w:numPr>
          <w:ilvl w:val="0"/>
          <w:numId w:val="3"/>
        </w:numPr>
        <w:spacing w:before="120" w:line="264" w:lineRule="auto"/>
        <w:ind w:left="850" w:hanging="357"/>
        <w:rPr>
          <w:b/>
          <w:color w:val="365F91" w:themeColor="accent1" w:themeShade="BF"/>
        </w:rPr>
      </w:pPr>
      <w:r w:rsidRPr="006C190A">
        <w:rPr>
          <w:b/>
          <w:color w:val="365F91" w:themeColor="accent1" w:themeShade="BF"/>
        </w:rPr>
        <w:t>Stručný popis projektu</w:t>
      </w:r>
      <w:r w:rsidRPr="004F432E">
        <w:rPr>
          <w:b/>
          <w:bCs/>
          <w:color w:val="365F91" w:themeColor="accent1" w:themeShade="BF"/>
          <w:sz w:val="18"/>
          <w:szCs w:val="18"/>
          <w:vertAlign w:val="superscript"/>
        </w:rPr>
        <w:footnoteReference w:id="1"/>
      </w:r>
      <w:r w:rsidR="006505C8">
        <w:rPr>
          <w:b/>
          <w:color w:val="365F91" w:themeColor="accent1" w:themeShade="BF"/>
        </w:rPr>
        <w:t xml:space="preserve"> </w:t>
      </w:r>
    </w:p>
    <w:p w14:paraId="5401330F" w14:textId="77777777" w:rsidR="000E40F3" w:rsidRPr="000E40F3" w:rsidRDefault="000E40F3" w:rsidP="000E40F3">
      <w:pPr>
        <w:spacing w:before="120" w:line="264" w:lineRule="auto"/>
        <w:rPr>
          <w:b/>
          <w:color w:val="365F91" w:themeColor="accent1" w:themeShade="BF"/>
        </w:rPr>
      </w:pPr>
    </w:p>
    <w:p w14:paraId="2B4177A5" w14:textId="77777777" w:rsidR="00AC22F0" w:rsidRPr="008F7CAA" w:rsidRDefault="00AC22F0" w:rsidP="000E40F3">
      <w:pPr>
        <w:pStyle w:val="Odstavecseseznamem"/>
        <w:numPr>
          <w:ilvl w:val="0"/>
          <w:numId w:val="3"/>
        </w:numPr>
        <w:spacing w:before="120" w:line="264" w:lineRule="auto"/>
        <w:ind w:left="850" w:hanging="357"/>
        <w:rPr>
          <w:b/>
          <w:color w:val="365F91" w:themeColor="accent1" w:themeShade="BF"/>
        </w:rPr>
      </w:pPr>
      <w:r w:rsidRPr="008F7CAA">
        <w:rPr>
          <w:b/>
          <w:color w:val="365F91" w:themeColor="accent1" w:themeShade="BF"/>
        </w:rPr>
        <w:t xml:space="preserve">Vybraná </w:t>
      </w:r>
      <w:r w:rsidR="008F7CAA" w:rsidRPr="008F7CAA">
        <w:rPr>
          <w:b/>
          <w:color w:val="365F91" w:themeColor="accent1" w:themeShade="BF"/>
        </w:rPr>
        <w:t>s</w:t>
      </w:r>
      <w:r w:rsidRPr="008F7CAA">
        <w:rPr>
          <w:b/>
          <w:color w:val="365F91" w:themeColor="accent1" w:themeShade="BF"/>
        </w:rPr>
        <w:t>pecifická kritéria přijatelnosti</w:t>
      </w:r>
      <w:r w:rsidR="008F7CAA" w:rsidRPr="008F7CAA">
        <w:rPr>
          <w:b/>
          <w:color w:val="365F91" w:themeColor="accent1" w:themeShade="BF"/>
        </w:rPr>
        <w:t xml:space="preserve"> </w:t>
      </w:r>
    </w:p>
    <w:tbl>
      <w:tblPr>
        <w:tblStyle w:val="Prosttabulka41"/>
        <w:tblW w:w="0" w:type="auto"/>
        <w:jc w:val="center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379"/>
        <w:gridCol w:w="5857"/>
        <w:gridCol w:w="1565"/>
      </w:tblGrid>
      <w:tr w:rsidR="008F7CAA" w:rsidRPr="008F7CAA" w14:paraId="63CA6592" w14:textId="77777777" w:rsidTr="00F34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single" w:sz="8" w:space="0" w:color="0070C0"/>
            </w:tcBorders>
            <w:vAlign w:val="center"/>
          </w:tcPr>
          <w:p w14:paraId="0997CA37" w14:textId="77777777" w:rsidR="008F7CAA" w:rsidRPr="008F7CAA" w:rsidRDefault="008F7CAA" w:rsidP="00F34036">
            <w:pPr>
              <w:keepNext/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Kritérium </w:t>
            </w:r>
          </w:p>
        </w:tc>
        <w:tc>
          <w:tcPr>
            <w:tcW w:w="5857" w:type="dxa"/>
            <w:tcBorders>
              <w:bottom w:val="single" w:sz="8" w:space="0" w:color="0070C0"/>
            </w:tcBorders>
            <w:vAlign w:val="center"/>
          </w:tcPr>
          <w:p w14:paraId="1F355F39" w14:textId="77777777" w:rsidR="008F7CAA" w:rsidRPr="008F7CAA" w:rsidRDefault="008F7CAA" w:rsidP="00F3403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Komentář zpracovatele </w:t>
            </w:r>
          </w:p>
        </w:tc>
        <w:tc>
          <w:tcPr>
            <w:tcW w:w="0" w:type="auto"/>
            <w:tcBorders>
              <w:bottom w:val="single" w:sz="8" w:space="0" w:color="0070C0"/>
            </w:tcBorders>
            <w:vAlign w:val="center"/>
          </w:tcPr>
          <w:p w14:paraId="5D92CCDF" w14:textId="77777777" w:rsidR="008F7CAA" w:rsidRPr="008F7CAA" w:rsidRDefault="008F7CAA" w:rsidP="00F3403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Splněno ANO/NE</w:t>
            </w:r>
            <w:r w:rsidR="00BB16C4">
              <w:rPr>
                <w:color w:val="365F91" w:themeColor="accent1" w:themeShade="BF"/>
                <w:sz w:val="18"/>
                <w:szCs w:val="18"/>
              </w:rPr>
              <w:t>/IRL</w:t>
            </w:r>
          </w:p>
        </w:tc>
      </w:tr>
      <w:tr w:rsidR="008F7CAA" w:rsidRPr="008F7CAA" w14:paraId="5E2E2DEE" w14:textId="77777777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  <w:vAlign w:val="center"/>
          </w:tcPr>
          <w:p w14:paraId="627A63AE" w14:textId="7FDBC30D" w:rsidR="008F7CAA" w:rsidRDefault="001936A8" w:rsidP="001936A8">
            <w:pPr>
              <w:jc w:val="both"/>
              <w:rPr>
                <w:bCs w:val="0"/>
                <w:sz w:val="18"/>
                <w:szCs w:val="18"/>
              </w:rPr>
            </w:pPr>
            <w:r w:rsidRPr="001936A8">
              <w:rPr>
                <w:b w:val="0"/>
                <w:sz w:val="18"/>
                <w:szCs w:val="18"/>
              </w:rPr>
              <w:t>Bude realizován systém s hodinovou výrobou v</w:t>
            </w:r>
            <w:r>
              <w:rPr>
                <w:b w:val="0"/>
                <w:sz w:val="18"/>
                <w:szCs w:val="18"/>
              </w:rPr>
              <w:t> </w:t>
            </w:r>
            <w:r w:rsidRPr="001936A8">
              <w:rPr>
                <w:b w:val="0"/>
                <w:sz w:val="18"/>
                <w:szCs w:val="18"/>
              </w:rPr>
              <w:t>rozsahu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1936A8">
              <w:rPr>
                <w:b w:val="0"/>
                <w:sz w:val="18"/>
                <w:szCs w:val="18"/>
              </w:rPr>
              <w:t>min. 5 Nm</w:t>
            </w:r>
            <w:r w:rsidRPr="001936A8">
              <w:rPr>
                <w:b w:val="0"/>
                <w:sz w:val="18"/>
                <w:szCs w:val="18"/>
                <w:vertAlign w:val="superscript"/>
              </w:rPr>
              <w:t>3</w:t>
            </w:r>
            <w:r w:rsidRPr="001936A8">
              <w:rPr>
                <w:b w:val="0"/>
                <w:sz w:val="18"/>
                <w:szCs w:val="18"/>
              </w:rPr>
              <w:t>/h</w:t>
            </w:r>
            <w:r w:rsidR="00074306" w:rsidRPr="00074306">
              <w:rPr>
                <w:rStyle w:val="Znakapoznpodarou"/>
                <w:sz w:val="18"/>
                <w:szCs w:val="18"/>
              </w:rPr>
              <w:footnoteReference w:id="2"/>
            </w:r>
            <w:r w:rsidR="00074306" w:rsidRPr="00074306">
              <w:rPr>
                <w:sz w:val="18"/>
                <w:szCs w:val="18"/>
              </w:rPr>
              <w:t xml:space="preserve"> </w:t>
            </w:r>
            <w:r w:rsidRPr="001936A8">
              <w:rPr>
                <w:b w:val="0"/>
                <w:sz w:val="18"/>
                <w:szCs w:val="18"/>
              </w:rPr>
              <w:t xml:space="preserve"> a max. 25 000 Nm</w:t>
            </w:r>
            <w:r w:rsidRPr="001936A8">
              <w:rPr>
                <w:b w:val="0"/>
                <w:sz w:val="18"/>
                <w:szCs w:val="18"/>
                <w:vertAlign w:val="superscript"/>
              </w:rPr>
              <w:t>3</w:t>
            </w:r>
            <w:r w:rsidRPr="001936A8">
              <w:rPr>
                <w:b w:val="0"/>
                <w:sz w:val="18"/>
                <w:szCs w:val="18"/>
              </w:rPr>
              <w:t>/h.</w:t>
            </w:r>
          </w:p>
          <w:p w14:paraId="41359926" w14:textId="6A57289D" w:rsidR="00784D09" w:rsidRPr="00BB16C4" w:rsidRDefault="00784D09" w:rsidP="001936A8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tcBorders>
              <w:bottom w:val="nil"/>
            </w:tcBorders>
            <w:vAlign w:val="center"/>
          </w:tcPr>
          <w:p w14:paraId="40412CA2" w14:textId="77777777" w:rsidR="008F7CAA" w:rsidRPr="008F7CAA" w:rsidRDefault="008F7CA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F5A16EC" w14:textId="77777777" w:rsidR="008F7CAA" w:rsidRPr="008F7CAA" w:rsidRDefault="008F7CA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EC0C24" w:rsidRPr="008F7CAA" w14:paraId="3B666113" w14:textId="77777777" w:rsidTr="00F34036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  <w:vAlign w:val="center"/>
          </w:tcPr>
          <w:p w14:paraId="06ABDDB2" w14:textId="11538B40" w:rsidR="00784D09" w:rsidRPr="00346EB6" w:rsidRDefault="001936A8" w:rsidP="004F432E">
            <w:pPr>
              <w:jc w:val="both"/>
              <w:rPr>
                <w:bCs w:val="0"/>
                <w:color w:val="365F91" w:themeColor="accent1" w:themeShade="BF"/>
                <w:sz w:val="18"/>
                <w:szCs w:val="18"/>
              </w:rPr>
            </w:pPr>
            <w:r w:rsidRPr="001936A8">
              <w:rPr>
                <w:b w:val="0"/>
                <w:sz w:val="18"/>
                <w:szCs w:val="18"/>
              </w:rPr>
              <w:t xml:space="preserve">V případě </w:t>
            </w:r>
            <w:r w:rsidR="004F432E">
              <w:rPr>
                <w:b w:val="0"/>
                <w:sz w:val="18"/>
                <w:szCs w:val="18"/>
              </w:rPr>
              <w:t xml:space="preserve">realizace elektrolyzéru dle </w:t>
            </w:r>
            <w:hyperlink r:id="rId10" w:history="1">
              <w:r w:rsidR="004F432E"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 xml:space="preserve">2 a) </w:t>
              </w:r>
              <w:r w:rsidR="00CA087E"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>výzvy</w:t>
              </w:r>
              <w:r w:rsidR="00CA087E" w:rsidRPr="00CA087E">
                <w:rPr>
                  <w:rStyle w:val="Hypertextovodkaz"/>
                  <w:b w:val="0"/>
                  <w:bCs w:val="0"/>
                  <w:color w:val="244061" w:themeColor="accent1" w:themeShade="80"/>
                  <w:sz w:val="18"/>
                  <w:szCs w:val="18"/>
                </w:rPr>
                <w:t xml:space="preserve"> </w:t>
              </w:r>
              <w:r w:rsidR="00CA087E"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>– výroba</w:t>
              </w:r>
              <w:r w:rsidR="004F432E"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 xml:space="preserve"> vodíku z obnovitelných zdrojů bez možnosti dodávat elektrickou energii do elektrizační </w:t>
              </w:r>
              <w:r w:rsidR="00346EB6"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>soustavy</w:t>
              </w:r>
            </w:hyperlink>
            <w:r w:rsidR="00346EB6">
              <w:rPr>
                <w:b w:val="0"/>
                <w:sz w:val="18"/>
                <w:szCs w:val="18"/>
              </w:rPr>
              <w:t>, naplňuje</w:t>
            </w:r>
            <w:r w:rsidR="00784D09">
              <w:rPr>
                <w:b w:val="0"/>
                <w:sz w:val="18"/>
                <w:szCs w:val="18"/>
              </w:rPr>
              <w:t xml:space="preserve"> vyrobený vodík definici tzv. </w:t>
            </w:r>
            <w:r w:rsidR="00784D09" w:rsidRPr="00784D09">
              <w:rPr>
                <w:bCs w:val="0"/>
                <w:sz w:val="18"/>
                <w:szCs w:val="18"/>
              </w:rPr>
              <w:t>v</w:t>
            </w:r>
            <w:r w:rsidR="004F432E" w:rsidRPr="00784D09">
              <w:rPr>
                <w:bCs w:val="0"/>
                <w:sz w:val="18"/>
                <w:szCs w:val="18"/>
              </w:rPr>
              <w:t>odík</w:t>
            </w:r>
            <w:r w:rsidR="00784D09" w:rsidRPr="00784D09">
              <w:rPr>
                <w:bCs w:val="0"/>
                <w:sz w:val="18"/>
                <w:szCs w:val="18"/>
              </w:rPr>
              <w:t>u</w:t>
            </w:r>
            <w:r w:rsidR="004F432E" w:rsidRPr="00784D09">
              <w:rPr>
                <w:bCs w:val="0"/>
                <w:sz w:val="18"/>
                <w:szCs w:val="18"/>
              </w:rPr>
              <w:t xml:space="preserve"> z obnovitelných zdrojů</w:t>
            </w:r>
            <w:r w:rsidR="00784D09">
              <w:rPr>
                <w:b w:val="0"/>
                <w:sz w:val="18"/>
                <w:szCs w:val="18"/>
              </w:rPr>
              <w:t xml:space="preserve"> tj. </w:t>
            </w:r>
            <w:r w:rsidR="004F432E" w:rsidRPr="004F432E">
              <w:rPr>
                <w:b w:val="0"/>
                <w:sz w:val="18"/>
                <w:szCs w:val="18"/>
              </w:rPr>
              <w:t xml:space="preserve"> vodík</w:t>
            </w:r>
            <w:r w:rsidR="00784D09">
              <w:rPr>
                <w:b w:val="0"/>
                <w:sz w:val="18"/>
                <w:szCs w:val="18"/>
              </w:rPr>
              <w:t>u</w:t>
            </w:r>
            <w:r w:rsidR="004F432E" w:rsidRPr="004F432E">
              <w:rPr>
                <w:b w:val="0"/>
                <w:sz w:val="18"/>
                <w:szCs w:val="18"/>
              </w:rPr>
              <w:t xml:space="preserve"> vyrobe</w:t>
            </w:r>
            <w:r w:rsidR="00784D09">
              <w:rPr>
                <w:b w:val="0"/>
                <w:sz w:val="18"/>
                <w:szCs w:val="18"/>
              </w:rPr>
              <w:t>ného</w:t>
            </w:r>
            <w:r w:rsidR="004F432E" w:rsidRPr="004F432E">
              <w:rPr>
                <w:b w:val="0"/>
                <w:sz w:val="18"/>
                <w:szCs w:val="18"/>
              </w:rPr>
              <w:t xml:space="preserve"> z energie z obnovitelných zdrojů v souladu s metodikami pro </w:t>
            </w:r>
            <w:r w:rsidR="004F432E" w:rsidRPr="004F432E">
              <w:rPr>
                <w:bCs w:val="0"/>
                <w:sz w:val="18"/>
                <w:szCs w:val="18"/>
              </w:rPr>
              <w:t>kapalná a plynná paliva z</w:t>
            </w:r>
            <w:r w:rsidR="004F432E" w:rsidRPr="004F432E">
              <w:rPr>
                <w:b w:val="0"/>
                <w:sz w:val="18"/>
                <w:szCs w:val="18"/>
              </w:rPr>
              <w:t xml:space="preserve"> </w:t>
            </w:r>
            <w:r w:rsidR="004F432E" w:rsidRPr="004F432E">
              <w:rPr>
                <w:bCs w:val="0"/>
                <w:sz w:val="18"/>
                <w:szCs w:val="18"/>
              </w:rPr>
              <w:t>obnovitelných zdrojů nebiologického původu</w:t>
            </w:r>
            <w:r w:rsidR="00B516A3">
              <w:rPr>
                <w:bCs w:val="0"/>
                <w:sz w:val="18"/>
                <w:szCs w:val="18"/>
              </w:rPr>
              <w:t xml:space="preserve"> </w:t>
            </w:r>
            <w:r w:rsidR="00B516A3" w:rsidRPr="00B516A3">
              <w:rPr>
                <w:b w:val="0"/>
                <w:sz w:val="18"/>
                <w:szCs w:val="18"/>
              </w:rPr>
              <w:t>(dále jen „OZE“)</w:t>
            </w:r>
            <w:r w:rsidR="004F432E" w:rsidRPr="004F432E">
              <w:rPr>
                <w:b w:val="0"/>
                <w:sz w:val="18"/>
                <w:szCs w:val="18"/>
              </w:rPr>
              <w:t xml:space="preserve"> používaná v odvětví dopravy stanovenými ve </w:t>
            </w:r>
            <w:hyperlink r:id="rId11" w:history="1">
              <w:r w:rsidR="004F432E" w:rsidRPr="00784D09">
                <w:rPr>
                  <w:rStyle w:val="Hypertextovodkaz"/>
                  <w:b w:val="0"/>
                  <w:bCs w:val="0"/>
                  <w:i/>
                  <w:iCs/>
                  <w:color w:val="365F91" w:themeColor="accent1" w:themeShade="BF"/>
                  <w:sz w:val="18"/>
                  <w:szCs w:val="18"/>
                </w:rPr>
                <w:t>směrnici Evropského parlamentu a Rady (EU) 2018/2001</w:t>
              </w:r>
              <w:r w:rsidR="00784D09" w:rsidRPr="00784D09">
                <w:rPr>
                  <w:rStyle w:val="Hypertextovodkaz"/>
                  <w:b w:val="0"/>
                  <w:bCs w:val="0"/>
                  <w:i/>
                  <w:iCs/>
                  <w:color w:val="365F91" w:themeColor="accent1" w:themeShade="BF"/>
                  <w:sz w:val="18"/>
                  <w:szCs w:val="18"/>
                </w:rPr>
                <w:t xml:space="preserve"> ze dne 11. prosince 2018 o podpoře využívání energie z obnovitelných zdrojů</w:t>
              </w:r>
            </w:hyperlink>
            <w:r w:rsidR="00784D09">
              <w:rPr>
                <w:b w:val="0"/>
                <w:i/>
                <w:iCs/>
                <w:color w:val="365F91" w:themeColor="accent1" w:themeShade="BF"/>
                <w:sz w:val="18"/>
                <w:szCs w:val="18"/>
              </w:rPr>
              <w:t>.</w:t>
            </w:r>
            <w:r w:rsidR="00346EB6" w:rsidRPr="004F432E">
              <w:rPr>
                <w:b w:val="0"/>
                <w:bCs w:val="0"/>
                <w:color w:val="365F91" w:themeColor="accent1" w:themeShade="BF"/>
                <w:sz w:val="18"/>
                <w:szCs w:val="18"/>
                <w:vertAlign w:val="superscript"/>
              </w:rPr>
              <w:t xml:space="preserve"> </w:t>
            </w:r>
            <w:r w:rsidR="00346EB6" w:rsidRPr="00346EB6">
              <w:rPr>
                <w:bCs w:val="0"/>
                <w:sz w:val="18"/>
                <w:szCs w:val="18"/>
                <w:vertAlign w:val="superscript"/>
              </w:rPr>
              <w:footnoteReference w:id="3"/>
            </w:r>
          </w:p>
          <w:p w14:paraId="2CA4E744" w14:textId="717B0845" w:rsidR="00784D09" w:rsidRPr="001936A8" w:rsidRDefault="00784D09" w:rsidP="004F432E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tcBorders>
              <w:bottom w:val="nil"/>
            </w:tcBorders>
            <w:vAlign w:val="center"/>
          </w:tcPr>
          <w:p w14:paraId="4D48F372" w14:textId="77777777" w:rsidR="00EC0C24" w:rsidRPr="008F7CAA" w:rsidRDefault="00EC0C24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2B02ACB" w14:textId="77777777" w:rsidR="00EC0C24" w:rsidRPr="008F7CAA" w:rsidRDefault="00EC0C24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F7CAA" w:rsidRPr="008F7CAA" w14:paraId="7BFF7B35" w14:textId="77777777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7D8C8B4C" w14:textId="37DF120E" w:rsidR="008F7CAA" w:rsidRDefault="000B0A25" w:rsidP="00F34036">
            <w:pPr>
              <w:jc w:val="both"/>
              <w:rPr>
                <w:bCs w:val="0"/>
                <w:sz w:val="18"/>
                <w:szCs w:val="18"/>
              </w:rPr>
            </w:pPr>
            <w:r w:rsidRPr="000B0A25">
              <w:rPr>
                <w:b w:val="0"/>
                <w:sz w:val="18"/>
                <w:szCs w:val="18"/>
              </w:rPr>
              <w:t>U projektů na výrobu obnovitelného vodíku dle</w:t>
            </w:r>
            <w:r>
              <w:rPr>
                <w:b w:val="0"/>
                <w:sz w:val="18"/>
                <w:szCs w:val="18"/>
              </w:rPr>
              <w:t xml:space="preserve"> </w:t>
            </w:r>
            <w:hyperlink r:id="rId12" w:history="1">
              <w:r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 xml:space="preserve">2 a) </w:t>
              </w:r>
              <w:r w:rsidR="00893379"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>výzvy – výroba</w:t>
              </w:r>
              <w:r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 xml:space="preserve"> vodíku z obnovitelných zdrojů bez možnosti dodávat elektrickou energii do elektrizační soustavy</w:t>
              </w:r>
            </w:hyperlink>
            <w:r>
              <w:rPr>
                <w:b w:val="0"/>
                <w:sz w:val="18"/>
                <w:szCs w:val="18"/>
              </w:rPr>
              <w:t xml:space="preserve">, </w:t>
            </w:r>
            <w:r w:rsidRPr="000B0A25">
              <w:rPr>
                <w:b w:val="0"/>
                <w:sz w:val="18"/>
                <w:szCs w:val="18"/>
              </w:rPr>
              <w:t>sestávající z elektrolyzéru přímo připojenému k</w:t>
            </w:r>
            <w:r w:rsidR="00B516A3">
              <w:rPr>
                <w:b w:val="0"/>
                <w:sz w:val="18"/>
                <w:szCs w:val="18"/>
              </w:rPr>
              <w:t xml:space="preserve"> OZE </w:t>
            </w:r>
            <w:r w:rsidRPr="000B0A25">
              <w:rPr>
                <w:b w:val="0"/>
                <w:sz w:val="18"/>
                <w:szCs w:val="18"/>
              </w:rPr>
              <w:t xml:space="preserve">(za jedním bodem připojení k síti) </w:t>
            </w:r>
            <w:r w:rsidRPr="00B516A3">
              <w:rPr>
                <w:bCs w:val="0"/>
                <w:sz w:val="18"/>
                <w:szCs w:val="18"/>
              </w:rPr>
              <w:t>nesmí kapacita (výkon) elektrolyzéru</w:t>
            </w:r>
            <w:r w:rsidR="00B516A3" w:rsidRPr="00346EB6">
              <w:rPr>
                <w:bCs w:val="0"/>
                <w:sz w:val="18"/>
                <w:szCs w:val="18"/>
                <w:vertAlign w:val="superscript"/>
              </w:rPr>
              <w:footnoteReference w:id="4"/>
            </w:r>
            <w:r w:rsidR="00B516A3">
              <w:rPr>
                <w:b w:val="0"/>
                <w:sz w:val="18"/>
                <w:szCs w:val="18"/>
              </w:rPr>
              <w:t xml:space="preserve"> </w:t>
            </w:r>
            <w:r w:rsidRPr="000B0A25">
              <w:rPr>
                <w:b w:val="0"/>
                <w:sz w:val="18"/>
                <w:szCs w:val="18"/>
              </w:rPr>
              <w:t xml:space="preserve">překročit </w:t>
            </w:r>
            <w:r w:rsidRPr="000B0A25">
              <w:rPr>
                <w:b w:val="0"/>
                <w:sz w:val="18"/>
                <w:szCs w:val="18"/>
              </w:rPr>
              <w:lastRenderedPageBreak/>
              <w:t>kombinovanou kapacitu (výkon) všech přímo připojených jednotek pro výrobu energie z obnovitelných zdrojů</w:t>
            </w:r>
            <w:r w:rsidR="000C538F" w:rsidRPr="00346EB6">
              <w:rPr>
                <w:bCs w:val="0"/>
                <w:sz w:val="18"/>
                <w:szCs w:val="18"/>
                <w:vertAlign w:val="superscript"/>
              </w:rPr>
              <w:footnoteReference w:id="5"/>
            </w:r>
            <w:r w:rsidRPr="000B0A25">
              <w:rPr>
                <w:b w:val="0"/>
                <w:sz w:val="18"/>
                <w:szCs w:val="18"/>
              </w:rPr>
              <w:t>.</w:t>
            </w:r>
            <w:r w:rsidR="00FE0B31">
              <w:rPr>
                <w:b w:val="0"/>
                <w:sz w:val="18"/>
                <w:szCs w:val="18"/>
              </w:rPr>
              <w:t xml:space="preserve"> </w:t>
            </w:r>
          </w:p>
          <w:p w14:paraId="58F83AD9" w14:textId="4B32747D" w:rsidR="00FE0B31" w:rsidRPr="00FA0C6C" w:rsidRDefault="00FE0B31" w:rsidP="00F34036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14:paraId="45F6819B" w14:textId="77777777" w:rsidR="008F7CAA" w:rsidRPr="008F7CAA" w:rsidRDefault="008F7CA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D6EAEE" w14:textId="77777777" w:rsidR="008F7CAA" w:rsidRPr="008F7CAA" w:rsidRDefault="008F7CA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F7CAA" w:rsidRPr="008F7CAA" w14:paraId="17BE59F5" w14:textId="77777777" w:rsidTr="0014575A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7DE1227A" w14:textId="1DD5519E" w:rsidR="00235379" w:rsidRPr="00235379" w:rsidRDefault="00235379" w:rsidP="00235379">
            <w:pPr>
              <w:jc w:val="both"/>
              <w:rPr>
                <w:b w:val="0"/>
                <w:sz w:val="18"/>
                <w:szCs w:val="18"/>
              </w:rPr>
            </w:pPr>
            <w:r w:rsidRPr="00235379">
              <w:rPr>
                <w:b w:val="0"/>
                <w:sz w:val="18"/>
                <w:szCs w:val="18"/>
              </w:rPr>
              <w:t xml:space="preserve">V případě podpory opatření dle bodu </w:t>
            </w:r>
            <w:hyperlink r:id="rId13" w:history="1">
              <w:r w:rsidRPr="00CA087E">
                <w:rPr>
                  <w:rStyle w:val="Hypertextovodkaz"/>
                  <w:b w:val="0"/>
                  <w:bCs w:val="0"/>
                  <w:i/>
                  <w:iCs/>
                  <w:color w:val="244061" w:themeColor="accent1" w:themeShade="80"/>
                  <w:sz w:val="18"/>
                  <w:szCs w:val="18"/>
                </w:rPr>
                <w:t>2 b) - akumulace elektrické energie do vodíku z přímo připojeného zařízení na výrobu energie z obnovitelných zdrojů nebiologického původu</w:t>
              </w:r>
            </w:hyperlink>
            <w:r w:rsidRPr="00235379">
              <w:rPr>
                <w:b w:val="0"/>
                <w:sz w:val="18"/>
                <w:szCs w:val="18"/>
              </w:rPr>
              <w:t>, s možností dodávek elektrické energie do elektrizační soustavy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235379">
              <w:rPr>
                <w:b w:val="0"/>
                <w:sz w:val="18"/>
                <w:szCs w:val="18"/>
              </w:rPr>
              <w:t>musí prvek pro ukládání (elektrolyzér) ročně přijmout alespoň 75 % své energie z přímo připojeného zařízení (za měřidlem) na výrobu energie z obnovitelných zdrojů.</w:t>
            </w:r>
          </w:p>
          <w:p w14:paraId="6748D93A" w14:textId="77777777" w:rsidR="008F7CAA" w:rsidRPr="000429E7" w:rsidRDefault="008F7CAA" w:rsidP="00F34036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14:paraId="70C2837F" w14:textId="77777777" w:rsidR="008F7CAA" w:rsidRPr="008F7CAA" w:rsidRDefault="008F7CAA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3BA1E2" w14:textId="77777777" w:rsidR="008F7CAA" w:rsidRPr="008F7CAA" w:rsidRDefault="008F7CAA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0338E" w:rsidRPr="008F7CAA" w14:paraId="601012FD" w14:textId="77777777" w:rsidTr="00145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7C8DD368" w14:textId="77777777" w:rsidR="00BD14C7" w:rsidRDefault="00BD14C7" w:rsidP="0030338E">
            <w:pPr>
              <w:jc w:val="both"/>
              <w:rPr>
                <w:b w:val="0"/>
                <w:sz w:val="18"/>
                <w:szCs w:val="18"/>
              </w:rPr>
            </w:pPr>
          </w:p>
          <w:p w14:paraId="206CBA5E" w14:textId="6A3CBED2" w:rsidR="0030338E" w:rsidRPr="000429E7" w:rsidRDefault="00E27ED6" w:rsidP="000B0A25">
            <w:pPr>
              <w:jc w:val="both"/>
              <w:rPr>
                <w:sz w:val="18"/>
                <w:szCs w:val="18"/>
              </w:rPr>
            </w:pPr>
            <w:r w:rsidRPr="00E27ED6">
              <w:rPr>
                <w:b w:val="0"/>
                <w:sz w:val="18"/>
                <w:szCs w:val="18"/>
              </w:rPr>
              <w:t xml:space="preserve">Při realizaci mohou být použity výhradně komponenty s garantovanou životností: </w:t>
            </w:r>
            <w:r w:rsidRPr="00E27ED6">
              <w:rPr>
                <w:bCs w:val="0"/>
                <w:i/>
                <w:iCs/>
                <w:sz w:val="18"/>
                <w:szCs w:val="18"/>
              </w:rPr>
              <w:t>Elektrolyzér</w:t>
            </w:r>
            <w:r>
              <w:rPr>
                <w:b w:val="0"/>
                <w:i/>
                <w:iCs/>
                <w:sz w:val="18"/>
                <w:szCs w:val="18"/>
              </w:rPr>
              <w:t xml:space="preserve">: </w:t>
            </w:r>
            <w:r w:rsidRPr="00E27ED6">
              <w:rPr>
                <w:b w:val="0"/>
                <w:i/>
                <w:iCs/>
                <w:sz w:val="18"/>
                <w:szCs w:val="18"/>
              </w:rPr>
              <w:t>záruka výrobce či dodavatel na minimálně 15 000 provozních hodin nebo min. 5 let provozu na jeho bezodkladnou opravu, výměnu či adekvátní náhradu v případě poruchy nebo poškození</w:t>
            </w:r>
          </w:p>
        </w:tc>
        <w:tc>
          <w:tcPr>
            <w:tcW w:w="5857" w:type="dxa"/>
            <w:vAlign w:val="center"/>
          </w:tcPr>
          <w:p w14:paraId="063666F1" w14:textId="384434DF" w:rsidR="0030338E" w:rsidRPr="008F7CAA" w:rsidRDefault="00E27ED6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>Bude řešeno v rámci technických požadavků</w:t>
            </w:r>
            <w:r w:rsidR="004409FD">
              <w:rPr>
                <w:color w:val="595959" w:themeColor="text1" w:themeTint="A6"/>
                <w:sz w:val="18"/>
                <w:szCs w:val="18"/>
              </w:rPr>
              <w:t xml:space="preserve"> při </w:t>
            </w:r>
            <w:r>
              <w:rPr>
                <w:color w:val="595959" w:themeColor="text1" w:themeTint="A6"/>
                <w:sz w:val="18"/>
                <w:szCs w:val="18"/>
              </w:rPr>
              <w:t>výběr</w:t>
            </w:r>
            <w:r w:rsidR="004409FD">
              <w:rPr>
                <w:color w:val="595959" w:themeColor="text1" w:themeTint="A6"/>
                <w:sz w:val="18"/>
                <w:szCs w:val="18"/>
              </w:rPr>
              <w:t>u</w:t>
            </w:r>
            <w:r>
              <w:rPr>
                <w:color w:val="595959" w:themeColor="text1" w:themeTint="A6"/>
                <w:sz w:val="18"/>
                <w:szCs w:val="18"/>
              </w:rPr>
              <w:t xml:space="preserve"> dodavatele technologie a definováno ve smlouvě o dílo. </w:t>
            </w:r>
          </w:p>
        </w:tc>
        <w:tc>
          <w:tcPr>
            <w:tcW w:w="0" w:type="auto"/>
            <w:vAlign w:val="center"/>
          </w:tcPr>
          <w:p w14:paraId="7017E744" w14:textId="5385618B" w:rsidR="0030338E" w:rsidRPr="008F7CAA" w:rsidRDefault="00E27ED6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>ANO</w:t>
            </w:r>
          </w:p>
        </w:tc>
      </w:tr>
      <w:tr w:rsidR="00B05A6D" w:rsidRPr="008F7CAA" w14:paraId="58EB10EB" w14:textId="77777777" w:rsidTr="0014575A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2949FFE3" w14:textId="5270F718" w:rsidR="00803253" w:rsidRPr="00803253" w:rsidRDefault="00803253" w:rsidP="00803253">
            <w:pPr>
              <w:jc w:val="both"/>
              <w:rPr>
                <w:b w:val="0"/>
                <w:sz w:val="18"/>
                <w:szCs w:val="18"/>
              </w:rPr>
            </w:pPr>
            <w:r w:rsidRPr="00803253">
              <w:rPr>
                <w:b w:val="0"/>
                <w:sz w:val="18"/>
                <w:szCs w:val="18"/>
              </w:rPr>
              <w:t>Kvalita výsledného vodíku musí splňovat požadavky normy ČSN ISO14687.</w:t>
            </w:r>
            <w:r w:rsidRPr="00803253">
              <w:rPr>
                <w:bCs w:val="0"/>
                <w:sz w:val="18"/>
                <w:szCs w:val="18"/>
                <w:vertAlign w:val="superscript"/>
              </w:rPr>
              <w:footnoteReference w:id="6"/>
            </w:r>
          </w:p>
          <w:p w14:paraId="3E71850B" w14:textId="77777777" w:rsidR="00B05A6D" w:rsidRPr="00B05A6D" w:rsidRDefault="00B05A6D" w:rsidP="000C538F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14:paraId="2409BF01" w14:textId="77777777" w:rsidR="00B05A6D" w:rsidRPr="008F7CAA" w:rsidRDefault="00B05A6D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F15232" w14:textId="77777777" w:rsidR="00B05A6D" w:rsidRPr="008F7CAA" w:rsidRDefault="00B05A6D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14575A" w:rsidRPr="008F7CAA" w14:paraId="3E9D9543" w14:textId="77777777" w:rsidTr="00616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5E8EEB36" w14:textId="77777777" w:rsidR="00803253" w:rsidRPr="00803253" w:rsidRDefault="00803253" w:rsidP="00803253">
            <w:pPr>
              <w:jc w:val="both"/>
              <w:rPr>
                <w:b w:val="0"/>
                <w:sz w:val="18"/>
                <w:szCs w:val="18"/>
              </w:rPr>
            </w:pPr>
            <w:r w:rsidRPr="00803253">
              <w:rPr>
                <w:b w:val="0"/>
                <w:sz w:val="18"/>
                <w:szCs w:val="18"/>
              </w:rPr>
              <w:t>Výstupní přetlak vodíku musí být minimálně 1 bar(g).</w:t>
            </w:r>
          </w:p>
          <w:p w14:paraId="6B95AD96" w14:textId="77777777" w:rsidR="0014575A" w:rsidRPr="00803253" w:rsidRDefault="0014575A" w:rsidP="00803253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14:paraId="68313F63" w14:textId="77777777" w:rsidR="0014575A" w:rsidRPr="008F7CAA" w:rsidRDefault="0014575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59A862" w14:textId="77777777" w:rsidR="0014575A" w:rsidRPr="008F7CAA" w:rsidRDefault="0014575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16239" w:rsidRPr="008F7CAA" w14:paraId="383225E7" w14:textId="77777777" w:rsidTr="00616239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2BBE7BCC" w14:textId="77777777" w:rsidR="00803253" w:rsidRPr="00803253" w:rsidRDefault="00803253" w:rsidP="00803253">
            <w:pPr>
              <w:jc w:val="both"/>
              <w:rPr>
                <w:b w:val="0"/>
                <w:sz w:val="18"/>
                <w:szCs w:val="18"/>
              </w:rPr>
            </w:pPr>
            <w:r w:rsidRPr="00803253">
              <w:rPr>
                <w:b w:val="0"/>
                <w:sz w:val="18"/>
                <w:szCs w:val="18"/>
              </w:rPr>
              <w:t>V elektrolyzéru nesmí vznikat při výrobě vodíku skleníkové plyny.</w:t>
            </w:r>
          </w:p>
          <w:p w14:paraId="3774D2F0" w14:textId="77777777" w:rsidR="00616239" w:rsidRPr="00803253" w:rsidRDefault="00616239" w:rsidP="00803253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14:paraId="17CD19FB" w14:textId="77777777" w:rsidR="00616239" w:rsidRPr="008F7CAA" w:rsidRDefault="00616239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6A6F07" w14:textId="77777777" w:rsidR="00616239" w:rsidRPr="008F7CAA" w:rsidRDefault="00616239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7095602B" w14:textId="77777777" w:rsidR="000E40F3" w:rsidRDefault="000E40F3" w:rsidP="000E40F3">
      <w:pPr>
        <w:pStyle w:val="Odstavecseseznamem"/>
        <w:spacing w:before="720" w:line="264" w:lineRule="auto"/>
        <w:ind w:left="856" w:firstLine="0"/>
        <w:rPr>
          <w:b/>
          <w:color w:val="365F91" w:themeColor="accent1" w:themeShade="BF"/>
        </w:rPr>
      </w:pPr>
    </w:p>
    <w:p w14:paraId="61119EDB" w14:textId="77777777" w:rsidR="000E40F3" w:rsidRDefault="000E40F3" w:rsidP="000E40F3">
      <w:pPr>
        <w:pStyle w:val="Odstavecseseznamem"/>
        <w:spacing w:before="720" w:line="264" w:lineRule="auto"/>
        <w:ind w:left="856" w:firstLine="0"/>
        <w:rPr>
          <w:b/>
          <w:color w:val="365F91" w:themeColor="accent1" w:themeShade="BF"/>
        </w:rPr>
      </w:pPr>
    </w:p>
    <w:p w14:paraId="75276AC5" w14:textId="65B51FE4" w:rsidR="00A6466E" w:rsidRPr="008F7CAA" w:rsidRDefault="008F7CAA" w:rsidP="000E40F3">
      <w:pPr>
        <w:pStyle w:val="Odstavecseseznamem"/>
        <w:numPr>
          <w:ilvl w:val="0"/>
          <w:numId w:val="3"/>
        </w:numPr>
        <w:spacing w:before="120" w:line="264" w:lineRule="auto"/>
        <w:ind w:left="850" w:hanging="357"/>
        <w:rPr>
          <w:b/>
          <w:color w:val="365F91" w:themeColor="accent1" w:themeShade="BF"/>
        </w:rPr>
      </w:pPr>
      <w:r w:rsidRPr="008F7CAA">
        <w:rPr>
          <w:b/>
          <w:color w:val="365F91" w:themeColor="accent1" w:themeShade="BF"/>
        </w:rPr>
        <w:t xml:space="preserve">Přínos projektu a </w:t>
      </w:r>
      <w:r>
        <w:rPr>
          <w:b/>
          <w:color w:val="365F91" w:themeColor="accent1" w:themeShade="BF"/>
        </w:rPr>
        <w:t xml:space="preserve">vykazované </w:t>
      </w:r>
      <w:r w:rsidR="007819F5">
        <w:rPr>
          <w:b/>
          <w:color w:val="365F91" w:themeColor="accent1" w:themeShade="BF"/>
        </w:rPr>
        <w:t>ukazatele</w:t>
      </w:r>
      <w:r w:rsidR="007819F5" w:rsidRPr="008F7CAA">
        <w:rPr>
          <w:b/>
          <w:color w:val="365F91" w:themeColor="accent1" w:themeShade="BF"/>
        </w:rPr>
        <w:t xml:space="preserve"> (indikátory</w:t>
      </w:r>
      <w:r w:rsidRPr="008F7CAA">
        <w:rPr>
          <w:b/>
          <w:color w:val="365F91" w:themeColor="accent1" w:themeShade="BF"/>
        </w:rPr>
        <w:t>)</w:t>
      </w:r>
    </w:p>
    <w:p w14:paraId="0437EB00" w14:textId="77777777" w:rsidR="00AC22F0" w:rsidRPr="008F7CAA" w:rsidRDefault="00AC22F0" w:rsidP="00A6466E">
      <w:pPr>
        <w:pStyle w:val="Zkladntext"/>
        <w:spacing w:before="12"/>
        <w:jc w:val="both"/>
        <w:rPr>
          <w:color w:val="595959" w:themeColor="text1" w:themeTint="A6"/>
        </w:rPr>
      </w:pPr>
    </w:p>
    <w:tbl>
      <w:tblPr>
        <w:tblStyle w:val="Prosttabulka41"/>
        <w:tblpPr w:leftFromText="142" w:rightFromText="142" w:vertAnchor="text" w:tblpXSpec="center" w:tblpY="1"/>
        <w:tblOverlap w:val="never"/>
        <w:tblW w:w="0" w:type="auto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70"/>
        <w:gridCol w:w="4253"/>
        <w:gridCol w:w="3878"/>
      </w:tblGrid>
      <w:tr w:rsidR="008F7CAA" w:rsidRPr="008F7CAA" w14:paraId="0261EBC9" w14:textId="77777777" w:rsidTr="00F34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single" w:sz="8" w:space="0" w:color="0070C0"/>
            </w:tcBorders>
            <w:vAlign w:val="center"/>
          </w:tcPr>
          <w:p w14:paraId="703F13F9" w14:textId="77777777" w:rsidR="00AC22F0" w:rsidRPr="008F7CAA" w:rsidRDefault="00AC22F0" w:rsidP="00AC22F0">
            <w:pPr>
              <w:keepNext/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Indikátor (jednotka)</w:t>
            </w:r>
          </w:p>
        </w:tc>
        <w:tc>
          <w:tcPr>
            <w:tcW w:w="4253" w:type="dxa"/>
            <w:tcBorders>
              <w:bottom w:val="single" w:sz="8" w:space="0" w:color="0070C0"/>
            </w:tcBorders>
            <w:vAlign w:val="center"/>
          </w:tcPr>
          <w:p w14:paraId="3EEE2168" w14:textId="77777777" w:rsidR="00AC22F0" w:rsidRPr="008F7CAA" w:rsidRDefault="00AC22F0" w:rsidP="00AC22F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Popis indikátoru</w:t>
            </w:r>
          </w:p>
        </w:tc>
        <w:tc>
          <w:tcPr>
            <w:tcW w:w="3878" w:type="dxa"/>
            <w:tcBorders>
              <w:bottom w:val="single" w:sz="8" w:space="0" w:color="0070C0"/>
            </w:tcBorders>
            <w:vAlign w:val="center"/>
          </w:tcPr>
          <w:p w14:paraId="508466A0" w14:textId="77777777" w:rsidR="00AC22F0" w:rsidRPr="008F7CAA" w:rsidRDefault="00AC22F0" w:rsidP="00AC22F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Hodnota </w:t>
            </w:r>
          </w:p>
        </w:tc>
      </w:tr>
      <w:tr w:rsidR="006C4C2E" w:rsidRPr="006C4C2E" w14:paraId="02F6070C" w14:textId="77777777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14:paraId="50D3827C" w14:textId="54CAB66E" w:rsidR="00AC22F0" w:rsidRPr="006C4C2E" w:rsidRDefault="0059626A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59626A">
              <w:rPr>
                <w:color w:val="595959" w:themeColor="text1" w:themeTint="A6"/>
                <w:sz w:val="18"/>
                <w:szCs w:val="18"/>
              </w:rPr>
              <w:t>Nov</w:t>
            </w:r>
            <w:r>
              <w:rPr>
                <w:color w:val="595959" w:themeColor="text1" w:themeTint="A6"/>
                <w:sz w:val="18"/>
                <w:szCs w:val="18"/>
              </w:rPr>
              <w:t>ě</w:t>
            </w:r>
            <w:r w:rsidRPr="0059626A">
              <w:rPr>
                <w:color w:val="595959" w:themeColor="text1" w:themeTint="A6"/>
                <w:sz w:val="18"/>
                <w:szCs w:val="18"/>
              </w:rPr>
              <w:t xml:space="preserve"> instalovaná výrobní kapacita vodíku z OZE [Nm</w:t>
            </w:r>
            <w:r w:rsidRPr="0059626A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59626A">
              <w:rPr>
                <w:color w:val="595959" w:themeColor="text1" w:themeTint="A6"/>
                <w:sz w:val="18"/>
                <w:szCs w:val="18"/>
              </w:rPr>
              <w:t>/h]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5D41BEFC" w14:textId="358EB7FF" w:rsidR="00AC22F0" w:rsidRPr="006C4C2E" w:rsidRDefault="0059626A" w:rsidP="00AC22F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59626A">
              <w:rPr>
                <w:color w:val="595959" w:themeColor="text1" w:themeTint="A6"/>
                <w:sz w:val="18"/>
                <w:szCs w:val="18"/>
              </w:rPr>
              <w:t>Nově instalovaná výrobní kapacita vodíku v Nm</w:t>
            </w:r>
            <w:r w:rsidRPr="0059626A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59626A">
              <w:rPr>
                <w:color w:val="595959" w:themeColor="text1" w:themeTint="A6"/>
                <w:sz w:val="18"/>
                <w:szCs w:val="18"/>
              </w:rPr>
              <w:t>/h</w:t>
            </w:r>
          </w:p>
        </w:tc>
        <w:tc>
          <w:tcPr>
            <w:tcW w:w="3878" w:type="dxa"/>
            <w:tcBorders>
              <w:bottom w:val="nil"/>
            </w:tcBorders>
            <w:vAlign w:val="center"/>
          </w:tcPr>
          <w:p w14:paraId="3E489E84" w14:textId="77777777" w:rsidR="00AC22F0" w:rsidRPr="006C4C2E" w:rsidRDefault="00AC22F0" w:rsidP="008F7CA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14:paraId="0A469F50" w14:textId="77777777" w:rsidTr="00F34036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4576675B" w14:textId="3C12A30F" w:rsidR="00AC22F0" w:rsidRPr="006C4C2E" w:rsidRDefault="0059626A" w:rsidP="00CD1E04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59626A">
              <w:rPr>
                <w:color w:val="595959" w:themeColor="text1" w:themeTint="A6"/>
                <w:sz w:val="18"/>
                <w:szCs w:val="18"/>
              </w:rPr>
              <w:t>Výroba vodíku [Nm</w:t>
            </w:r>
            <w:r w:rsidRPr="0059626A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59626A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253" w:type="dxa"/>
            <w:vAlign w:val="center"/>
          </w:tcPr>
          <w:p w14:paraId="6A67EF8A" w14:textId="193B5975" w:rsidR="00AC22F0" w:rsidRPr="006C4C2E" w:rsidRDefault="0059626A" w:rsidP="00AC22F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59626A">
              <w:rPr>
                <w:color w:val="595959" w:themeColor="text1" w:themeTint="A6"/>
                <w:sz w:val="18"/>
                <w:szCs w:val="18"/>
              </w:rPr>
              <w:t>Minimální roční objem vyrobeného vodíku v elektrolyzérech v Nm</w:t>
            </w:r>
            <w:r w:rsidRPr="0059626A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59626A">
              <w:rPr>
                <w:color w:val="595959" w:themeColor="text1" w:themeTint="A6"/>
                <w:sz w:val="18"/>
                <w:szCs w:val="18"/>
              </w:rPr>
              <w:t>/rok</w:t>
            </w:r>
          </w:p>
        </w:tc>
        <w:tc>
          <w:tcPr>
            <w:tcW w:w="3878" w:type="dxa"/>
            <w:vAlign w:val="center"/>
          </w:tcPr>
          <w:p w14:paraId="305D6709" w14:textId="77777777" w:rsidR="00AC22F0" w:rsidRPr="006C4C2E" w:rsidRDefault="00AC22F0" w:rsidP="008F7CAA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2168C17E" w14:textId="77777777" w:rsidR="00AC22F0" w:rsidRDefault="00AC22F0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6B50A3BF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098CA9C5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2B0E54D2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181DB565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7EA8E122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21FFE30E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201625C4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5E81B3DD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51742A92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614ACBC6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5C8B0D5D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737BDA49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2B48D94B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2D188DEA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502A761D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5873690D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23E0C577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165DBACA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645A61E2" w14:textId="77777777" w:rsidR="0059626A" w:rsidRDefault="0059626A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754FECE6" w14:textId="77777777" w:rsidR="000E40F3" w:rsidRDefault="000E40F3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36D51965" w14:textId="77777777" w:rsidR="000E40F3" w:rsidRPr="006C4C2E" w:rsidRDefault="000E40F3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4AD3D038" w14:textId="77777777" w:rsidR="006C4C2E" w:rsidRDefault="007819F5" w:rsidP="000E40F3">
      <w:pPr>
        <w:pStyle w:val="Odstavecseseznamem"/>
        <w:numPr>
          <w:ilvl w:val="0"/>
          <w:numId w:val="3"/>
        </w:numPr>
        <w:spacing w:before="120" w:line="264" w:lineRule="auto"/>
        <w:ind w:left="850" w:hanging="357"/>
        <w:rPr>
          <w:b/>
          <w:color w:val="365F91" w:themeColor="accent1" w:themeShade="BF"/>
        </w:rPr>
      </w:pPr>
      <w:r w:rsidRPr="007819F5">
        <w:rPr>
          <w:b/>
          <w:color w:val="365F91" w:themeColor="accent1" w:themeShade="BF"/>
        </w:rPr>
        <w:t>P</w:t>
      </w:r>
      <w:r w:rsidR="006C4C2E">
        <w:rPr>
          <w:b/>
          <w:color w:val="365F91" w:themeColor="accent1" w:themeShade="BF"/>
        </w:rPr>
        <w:t xml:space="preserve">ovinné přílohy </w:t>
      </w:r>
    </w:p>
    <w:p w14:paraId="3AE7DF31" w14:textId="77777777" w:rsidR="006C4C2E" w:rsidRDefault="006C4C2E" w:rsidP="006C4C2E">
      <w:pPr>
        <w:tabs>
          <w:tab w:val="left" w:pos="1368"/>
        </w:tabs>
      </w:pPr>
      <w:r>
        <w:tab/>
      </w:r>
    </w:p>
    <w:p w14:paraId="6C6A3563" w14:textId="77777777" w:rsidR="006C4C2E" w:rsidRPr="00826486" w:rsidRDefault="006C4C2E" w:rsidP="00F34036">
      <w:pPr>
        <w:pStyle w:val="Odstavecseseznamem"/>
        <w:tabs>
          <w:tab w:val="left" w:pos="1368"/>
        </w:tabs>
        <w:ind w:left="720" w:firstLine="0"/>
        <w:rPr>
          <w:b/>
          <w:color w:val="595959" w:themeColor="text1" w:themeTint="A6"/>
          <w:sz w:val="18"/>
          <w:szCs w:val="18"/>
          <w:shd w:val="clear" w:color="auto" w:fill="FFFFFF"/>
        </w:rPr>
      </w:pPr>
      <w:r w:rsidRPr="00826486">
        <w:rPr>
          <w:b/>
          <w:color w:val="595959" w:themeColor="text1" w:themeTint="A6"/>
          <w:sz w:val="18"/>
          <w:szCs w:val="18"/>
        </w:rPr>
        <w:t xml:space="preserve">Kopie </w:t>
      </w:r>
      <w:r w:rsidRPr="00826486">
        <w:rPr>
          <w:b/>
          <w:color w:val="595959" w:themeColor="text1" w:themeTint="A6"/>
          <w:sz w:val="18"/>
          <w:szCs w:val="18"/>
          <w:shd w:val="clear" w:color="auto" w:fill="FFFFFF"/>
        </w:rPr>
        <w:t>osvědčení o </w:t>
      </w:r>
      <w:r w:rsidRPr="00826486">
        <w:rPr>
          <w:b/>
          <w:color w:val="595959" w:themeColor="text1" w:themeTint="A6"/>
          <w:sz w:val="18"/>
          <w:szCs w:val="18"/>
        </w:rPr>
        <w:t xml:space="preserve">autorizaci, která potvrdí oprávněnost zpracovatele: </w:t>
      </w:r>
    </w:p>
    <w:p w14:paraId="418F07F5" w14:textId="77777777" w:rsidR="006C4C2E" w:rsidRP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E</w:t>
      </w:r>
      <w:r w:rsidR="006C4C2E" w:rsidRPr="006C4C2E">
        <w:rPr>
          <w:color w:val="595959" w:themeColor="text1" w:themeTint="A6"/>
          <w:sz w:val="18"/>
          <w:szCs w:val="18"/>
        </w:rPr>
        <w:t xml:space="preserve">nergetický specialista s příslušným oprávněním podle zákona č. 406/2000 Sb., o hospodaření energií, v platném znění, dle § 10, odstavec 1, část a) nebo b). </w:t>
      </w:r>
    </w:p>
    <w:p w14:paraId="2731188C" w14:textId="77777777" w:rsidR="006C4C2E" w:rsidRPr="006C4C2E" w:rsidRDefault="006C4C2E" w:rsidP="006C4C2E">
      <w:pPr>
        <w:pStyle w:val="Odstavecseseznamem"/>
        <w:tabs>
          <w:tab w:val="left" w:pos="1368"/>
        </w:tabs>
        <w:ind w:left="1725" w:firstLine="0"/>
        <w:rPr>
          <w:color w:val="595959" w:themeColor="text1" w:themeTint="A6"/>
          <w:sz w:val="18"/>
          <w:szCs w:val="18"/>
        </w:rPr>
      </w:pPr>
      <w:r w:rsidRPr="006C4C2E">
        <w:rPr>
          <w:color w:val="595959" w:themeColor="text1" w:themeTint="A6"/>
          <w:sz w:val="18"/>
          <w:szCs w:val="18"/>
        </w:rPr>
        <w:t>nebo</w:t>
      </w:r>
    </w:p>
    <w:p w14:paraId="218784D5" w14:textId="2CE67F0F" w:rsidR="006C4C2E" w:rsidRP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A</w:t>
      </w:r>
      <w:r w:rsidR="006C4C2E" w:rsidRPr="006C4C2E">
        <w:rPr>
          <w:color w:val="595959" w:themeColor="text1" w:themeTint="A6"/>
          <w:sz w:val="18"/>
          <w:szCs w:val="18"/>
        </w:rPr>
        <w:t xml:space="preserve">utorizovaný technik/inženýr v oboru technika prostředí staveb, specializace elektrotechnická zařízení (IE02, </w:t>
      </w:r>
      <w:r w:rsidR="0059626A">
        <w:rPr>
          <w:color w:val="595959" w:themeColor="text1" w:themeTint="A6"/>
          <w:sz w:val="18"/>
          <w:szCs w:val="18"/>
        </w:rPr>
        <w:t>I</w:t>
      </w:r>
      <w:r w:rsidR="006C4C2E" w:rsidRPr="006C4C2E">
        <w:rPr>
          <w:color w:val="595959" w:themeColor="text1" w:themeTint="A6"/>
          <w:sz w:val="18"/>
          <w:szCs w:val="18"/>
        </w:rPr>
        <w:t>T0</w:t>
      </w:r>
      <w:r w:rsidR="0059626A">
        <w:rPr>
          <w:color w:val="595959" w:themeColor="text1" w:themeTint="A6"/>
          <w:sz w:val="18"/>
          <w:szCs w:val="18"/>
        </w:rPr>
        <w:t>2</w:t>
      </w:r>
      <w:r w:rsidR="006C4C2E" w:rsidRPr="006C4C2E">
        <w:rPr>
          <w:color w:val="595959" w:themeColor="text1" w:themeTint="A6"/>
          <w:sz w:val="18"/>
          <w:szCs w:val="18"/>
        </w:rPr>
        <w:t>)</w:t>
      </w:r>
      <w:r w:rsidR="00447DA1">
        <w:rPr>
          <w:color w:val="595959" w:themeColor="text1" w:themeTint="A6"/>
          <w:sz w:val="18"/>
          <w:szCs w:val="18"/>
        </w:rPr>
        <w:t xml:space="preserve">. </w:t>
      </w:r>
      <w:r w:rsidR="006C4C2E" w:rsidRPr="006C4C2E">
        <w:rPr>
          <w:color w:val="595959" w:themeColor="text1" w:themeTint="A6"/>
          <w:sz w:val="18"/>
          <w:szCs w:val="18"/>
        </w:rPr>
        <w:t xml:space="preserve"> </w:t>
      </w:r>
    </w:p>
    <w:p w14:paraId="66FFAE47" w14:textId="77777777" w:rsidR="006C4C2E" w:rsidRPr="006C4C2E" w:rsidRDefault="006C4C2E" w:rsidP="006C4C2E">
      <w:pPr>
        <w:pStyle w:val="Odstavecseseznamem"/>
        <w:tabs>
          <w:tab w:val="left" w:pos="1368"/>
        </w:tabs>
        <w:ind w:left="1725" w:firstLine="0"/>
        <w:rPr>
          <w:color w:val="595959" w:themeColor="text1" w:themeTint="A6"/>
          <w:sz w:val="18"/>
          <w:szCs w:val="18"/>
        </w:rPr>
      </w:pPr>
      <w:r w:rsidRPr="006C4C2E">
        <w:rPr>
          <w:color w:val="595959" w:themeColor="text1" w:themeTint="A6"/>
          <w:sz w:val="18"/>
          <w:szCs w:val="18"/>
        </w:rPr>
        <w:t>nebo</w:t>
      </w:r>
    </w:p>
    <w:p w14:paraId="79CDBDE5" w14:textId="77777777" w:rsid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A</w:t>
      </w:r>
      <w:r w:rsidR="006C4C2E" w:rsidRPr="006C4C2E">
        <w:rPr>
          <w:color w:val="595959" w:themeColor="text1" w:themeTint="A6"/>
          <w:sz w:val="18"/>
          <w:szCs w:val="18"/>
        </w:rPr>
        <w:t>utorizovaný technik/inženýr v oboru technologická zařízení staveb (IT00, TT00).</w:t>
      </w:r>
      <w:r>
        <w:rPr>
          <w:color w:val="595959" w:themeColor="text1" w:themeTint="A6"/>
          <w:sz w:val="18"/>
          <w:szCs w:val="18"/>
        </w:rPr>
        <w:t xml:space="preserve"> </w:t>
      </w:r>
    </w:p>
    <w:p w14:paraId="64FAEDCE" w14:textId="77777777" w:rsidR="00826486" w:rsidRDefault="00826486" w:rsidP="00826486">
      <w:pPr>
        <w:pStyle w:val="Odstavecseseznamem"/>
        <w:tabs>
          <w:tab w:val="left" w:pos="1368"/>
        </w:tabs>
        <w:ind w:left="720" w:firstLine="0"/>
        <w:rPr>
          <w:color w:val="595959" w:themeColor="text1" w:themeTint="A6"/>
          <w:sz w:val="18"/>
          <w:szCs w:val="18"/>
        </w:rPr>
      </w:pPr>
    </w:p>
    <w:sectPr w:rsidR="00826486" w:rsidSect="00C745BF">
      <w:pgSz w:w="16840" w:h="11910" w:orient="landscape"/>
      <w:pgMar w:top="1281" w:right="1820" w:bottom="1281" w:left="1219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8143" w14:textId="77777777" w:rsidR="00D57073" w:rsidRDefault="00D57073">
      <w:r>
        <w:separator/>
      </w:r>
    </w:p>
  </w:endnote>
  <w:endnote w:type="continuationSeparator" w:id="0">
    <w:p w14:paraId="4F56AB08" w14:textId="77777777" w:rsidR="00D57073" w:rsidRDefault="00D5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CEB66F" w14:textId="77777777"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3039A481" w14:textId="77777777"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F5E0" w14:textId="77777777" w:rsidR="00D57073" w:rsidRDefault="00D57073">
      <w:r>
        <w:separator/>
      </w:r>
    </w:p>
  </w:footnote>
  <w:footnote w:type="continuationSeparator" w:id="0">
    <w:p w14:paraId="2301D57C" w14:textId="77777777" w:rsidR="00D57073" w:rsidRDefault="00D57073">
      <w:r>
        <w:continuationSeparator/>
      </w:r>
    </w:p>
  </w:footnote>
  <w:footnote w:id="1">
    <w:p w14:paraId="4992ADFB" w14:textId="4C477987" w:rsidR="009E21AB" w:rsidRPr="00980C0F" w:rsidRDefault="00BA3A31" w:rsidP="009E21AB">
      <w:pPr>
        <w:pStyle w:val="Textpoznpodarou"/>
        <w:rPr>
          <w:color w:val="595959" w:themeColor="text1" w:themeTint="A6"/>
          <w:sz w:val="18"/>
        </w:rPr>
      </w:pPr>
      <w:r w:rsidRPr="000B0A25">
        <w:rPr>
          <w:rStyle w:val="Znakapoznpodarou"/>
          <w:b/>
          <w:bCs/>
          <w:color w:val="595959" w:themeColor="text1" w:themeTint="A6"/>
          <w:sz w:val="18"/>
          <w:szCs w:val="18"/>
        </w:rPr>
        <w:footnoteRef/>
      </w:r>
      <w:r w:rsidRPr="000B0A25">
        <w:rPr>
          <w:b/>
          <w:bCs/>
          <w:color w:val="595959" w:themeColor="text1" w:themeTint="A6"/>
        </w:rPr>
        <w:t xml:space="preserve"> </w:t>
      </w:r>
      <w:r>
        <w:rPr>
          <w:rFonts w:eastAsia="Segoe UI" w:cs="Segoe UI"/>
          <w:color w:val="595959" w:themeColor="text1" w:themeTint="A6"/>
          <w:sz w:val="16"/>
          <w:szCs w:val="16"/>
        </w:rPr>
        <w:t>D</w:t>
      </w:r>
      <w:r w:rsidRPr="006C190A">
        <w:rPr>
          <w:rFonts w:eastAsia="Segoe UI" w:cs="Segoe UI"/>
          <w:color w:val="595959" w:themeColor="text1" w:themeTint="A6"/>
          <w:sz w:val="16"/>
          <w:szCs w:val="16"/>
        </w:rPr>
        <w:t>efinovat jednotlivé budovy (pozemky) včetně č. p. a parcelních čísel, kterých se realizace týká</w:t>
      </w:r>
      <w:r w:rsidR="00803253">
        <w:rPr>
          <w:rFonts w:eastAsia="Segoe UI" w:cs="Segoe UI"/>
          <w:color w:val="595959" w:themeColor="text1" w:themeTint="A6"/>
          <w:sz w:val="16"/>
          <w:szCs w:val="16"/>
        </w:rPr>
        <w:t xml:space="preserve">, </w:t>
      </w:r>
      <w:r w:rsidRPr="006C190A">
        <w:rPr>
          <w:rFonts w:eastAsia="Segoe UI" w:cs="Segoe UI"/>
          <w:color w:val="595959" w:themeColor="text1" w:themeTint="A6"/>
          <w:sz w:val="16"/>
          <w:szCs w:val="16"/>
        </w:rPr>
        <w:t>včetně instalovaných výkonů</w:t>
      </w:r>
      <w:r w:rsidR="009E21AB">
        <w:rPr>
          <w:rFonts w:eastAsia="Segoe UI" w:cs="Segoe UI"/>
          <w:color w:val="595959" w:themeColor="text1" w:themeTint="A6"/>
          <w:sz w:val="16"/>
          <w:szCs w:val="16"/>
        </w:rPr>
        <w:t>,</w:t>
      </w:r>
      <w:r w:rsidR="0059626A">
        <w:rPr>
          <w:rFonts w:eastAsia="Segoe UI" w:cs="Segoe UI"/>
          <w:color w:val="595959" w:themeColor="text1" w:themeTint="A6"/>
          <w:sz w:val="16"/>
          <w:szCs w:val="16"/>
        </w:rPr>
        <w:t xml:space="preserve"> </w:t>
      </w:r>
      <w:r w:rsidR="009E21AB">
        <w:rPr>
          <w:rFonts w:eastAsia="Segoe UI" w:cs="Segoe UI"/>
          <w:color w:val="595959" w:themeColor="text1" w:themeTint="A6"/>
          <w:sz w:val="16"/>
          <w:szCs w:val="16"/>
        </w:rPr>
        <w:t xml:space="preserve">vazeb na </w:t>
      </w:r>
      <w:r w:rsidR="0059626A">
        <w:rPr>
          <w:rFonts w:eastAsia="Segoe UI" w:cs="Segoe UI"/>
          <w:color w:val="595959" w:themeColor="text1" w:themeTint="A6"/>
          <w:sz w:val="16"/>
          <w:szCs w:val="16"/>
        </w:rPr>
        <w:t>s</w:t>
      </w:r>
      <w:r w:rsidR="009E21AB">
        <w:rPr>
          <w:rFonts w:eastAsia="Segoe UI" w:cs="Segoe UI"/>
          <w:color w:val="595959" w:themeColor="text1" w:themeTint="A6"/>
          <w:sz w:val="16"/>
          <w:szCs w:val="16"/>
        </w:rPr>
        <w:t>mlouvu/smlouvy</w:t>
      </w:r>
      <w:r w:rsidR="009E21AB" w:rsidRPr="00410C2C">
        <w:rPr>
          <w:rFonts w:eastAsia="Segoe UI" w:cs="Segoe UI"/>
          <w:color w:val="595959" w:themeColor="text1" w:themeTint="A6"/>
          <w:sz w:val="16"/>
          <w:szCs w:val="16"/>
        </w:rPr>
        <w:t xml:space="preserve"> o připojení výrobny elektřiny k elektrizační soustavě</w:t>
      </w:r>
      <w:r w:rsidR="00A61351">
        <w:rPr>
          <w:rFonts w:eastAsia="Segoe UI" w:cs="Segoe UI"/>
          <w:color w:val="595959" w:themeColor="text1" w:themeTint="A6"/>
          <w:sz w:val="16"/>
          <w:szCs w:val="16"/>
        </w:rPr>
        <w:t xml:space="preserve"> apod. </w:t>
      </w:r>
    </w:p>
    <w:p w14:paraId="1B2943F6" w14:textId="77777777" w:rsidR="00BA3A31" w:rsidRPr="00BE64CE" w:rsidRDefault="00BA3A31" w:rsidP="00BA3A31">
      <w:pPr>
        <w:pStyle w:val="Textpoznpodarou"/>
        <w:rPr>
          <w:sz w:val="18"/>
        </w:rPr>
      </w:pPr>
    </w:p>
  </w:footnote>
  <w:footnote w:id="2">
    <w:p w14:paraId="2CD6D29E" w14:textId="77777777" w:rsidR="00074306" w:rsidRDefault="00074306" w:rsidP="00074306">
      <w:pPr>
        <w:pStyle w:val="Textpoznpodarou"/>
        <w:rPr>
          <w:sz w:val="18"/>
          <w:szCs w:val="18"/>
        </w:rPr>
      </w:pPr>
      <w:r w:rsidRPr="00074306">
        <w:rPr>
          <w:rStyle w:val="Znakapoznpodarou"/>
          <w:b/>
          <w:bCs/>
          <w:color w:val="595959" w:themeColor="text1" w:themeTint="A6"/>
          <w:sz w:val="18"/>
          <w:szCs w:val="18"/>
        </w:rPr>
        <w:footnoteRef/>
      </w:r>
      <w:r w:rsidRPr="00074306">
        <w:rPr>
          <w:rFonts w:eastAsia="Segoe UI" w:cs="Segoe UI"/>
          <w:color w:val="595959" w:themeColor="text1" w:themeTint="A6"/>
          <w:sz w:val="16"/>
          <w:szCs w:val="16"/>
        </w:rPr>
        <w:t xml:space="preserve"> Normální metr krychlový, tj. m3 vodíku za podmínek 0 °C, 101,325 kPa (dle DIN 1343) za hodinu.</w:t>
      </w:r>
    </w:p>
    <w:p w14:paraId="485ACBD8" w14:textId="77777777" w:rsidR="00074306" w:rsidRPr="000E61AB" w:rsidRDefault="00074306" w:rsidP="00074306">
      <w:pPr>
        <w:pStyle w:val="Textpoznpodarou"/>
        <w:rPr>
          <w:sz w:val="18"/>
          <w:szCs w:val="18"/>
        </w:rPr>
      </w:pPr>
    </w:p>
  </w:footnote>
  <w:footnote w:id="3">
    <w:p w14:paraId="79AFA3EC" w14:textId="7767A39F" w:rsidR="00346EB6" w:rsidRDefault="00346EB6" w:rsidP="00346EB6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  <w:r w:rsidRPr="000B0A25">
        <w:rPr>
          <w:rStyle w:val="Znakapoznpodarou"/>
          <w:b/>
          <w:bCs/>
          <w:color w:val="595959" w:themeColor="text1" w:themeTint="A6"/>
          <w:sz w:val="18"/>
          <w:szCs w:val="18"/>
        </w:rPr>
        <w:footnoteRef/>
      </w:r>
      <w:r w:rsidRPr="000B0A25">
        <w:rPr>
          <w:b/>
          <w:bCs/>
          <w:color w:val="595959" w:themeColor="text1" w:themeTint="A6"/>
        </w:rPr>
        <w:t xml:space="preserve"> </w:t>
      </w:r>
      <w:bookmarkStart w:id="0" w:name="_Hlk187930911"/>
      <w:r>
        <w:rPr>
          <w:rFonts w:eastAsia="Segoe UI" w:cs="Segoe UI"/>
          <w:color w:val="595959" w:themeColor="text1" w:themeTint="A6"/>
          <w:sz w:val="16"/>
          <w:szCs w:val="16"/>
        </w:rPr>
        <w:t xml:space="preserve">Kritérium lze naplnit i s kombinací s tzv. certifikací záruky původu eklektické energie z obnovitelného zdroje </w:t>
      </w:r>
      <w:r w:rsidRPr="00346EB6">
        <w:rPr>
          <w:rFonts w:eastAsia="Segoe UI" w:cs="Segoe UI"/>
          <w:b/>
          <w:bCs/>
          <w:color w:val="595959" w:themeColor="text1" w:themeTint="A6"/>
          <w:sz w:val="16"/>
          <w:szCs w:val="16"/>
        </w:rPr>
        <w:t>nebiologického původu</w:t>
      </w:r>
      <w:bookmarkEnd w:id="0"/>
      <w:r w:rsidRPr="00346EB6">
        <w:rPr>
          <w:rFonts w:eastAsia="Segoe UI" w:cs="Segoe UI"/>
          <w:b/>
          <w:bCs/>
          <w:color w:val="595959" w:themeColor="text1" w:themeTint="A6"/>
          <w:sz w:val="16"/>
          <w:szCs w:val="16"/>
        </w:rPr>
        <w:t>.</w:t>
      </w:r>
      <w:r>
        <w:rPr>
          <w:rFonts w:eastAsia="Segoe UI" w:cs="Segoe UI"/>
          <w:color w:val="595959" w:themeColor="text1" w:themeTint="A6"/>
          <w:sz w:val="16"/>
          <w:szCs w:val="16"/>
        </w:rPr>
        <w:t xml:space="preserve"> </w:t>
      </w:r>
      <w:r w:rsidR="00B516A3">
        <w:rPr>
          <w:rFonts w:eastAsia="Segoe UI" w:cs="Segoe UI"/>
          <w:color w:val="595959" w:themeColor="text1" w:themeTint="A6"/>
          <w:sz w:val="16"/>
          <w:szCs w:val="16"/>
        </w:rPr>
        <w:t xml:space="preserve"> </w:t>
      </w:r>
    </w:p>
    <w:p w14:paraId="4F3E7B9D" w14:textId="77777777" w:rsidR="00B516A3" w:rsidRPr="00346EB6" w:rsidRDefault="00B516A3" w:rsidP="00346EB6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</w:p>
  </w:footnote>
  <w:footnote w:id="4">
    <w:p w14:paraId="3ED3B88F" w14:textId="72BA7B37" w:rsidR="00B516A3" w:rsidRDefault="00B516A3" w:rsidP="00B516A3">
      <w:pPr>
        <w:pStyle w:val="Textpoznpodarou"/>
        <w:rPr>
          <w:color w:val="595959" w:themeColor="text1" w:themeTint="A6"/>
          <w:sz w:val="16"/>
          <w:szCs w:val="16"/>
        </w:rPr>
      </w:pPr>
      <w:r w:rsidRPr="000B0A25">
        <w:rPr>
          <w:rStyle w:val="Znakapoznpodarou"/>
          <w:b/>
          <w:bCs/>
          <w:color w:val="595959" w:themeColor="text1" w:themeTint="A6"/>
          <w:sz w:val="18"/>
          <w:szCs w:val="18"/>
        </w:rPr>
        <w:footnoteRef/>
      </w:r>
      <w:r w:rsidRPr="000B0A25">
        <w:rPr>
          <w:b/>
          <w:bCs/>
          <w:color w:val="595959" w:themeColor="text1" w:themeTint="A6"/>
        </w:rPr>
        <w:t xml:space="preserve"> </w:t>
      </w:r>
      <w:r w:rsidR="00880A15" w:rsidRPr="00880A15">
        <w:rPr>
          <w:color w:val="595959" w:themeColor="text1" w:themeTint="A6"/>
          <w:sz w:val="16"/>
          <w:szCs w:val="16"/>
        </w:rPr>
        <w:t xml:space="preserve">Pro potřeby této výzvy odpovídá výkon elektrolyzéru (P) vztahu </w:t>
      </w:r>
      <m:oMath>
        <m:r>
          <w:rPr>
            <w:rFonts w:ascii="Cambria Math" w:hAnsi="Cambria Math"/>
            <w:color w:val="595959" w:themeColor="text1" w:themeTint="A6"/>
            <w:sz w:val="16"/>
            <w:szCs w:val="16"/>
          </w:rPr>
          <m:t>P=6,241*</m:t>
        </m:r>
        <m:sSubSup>
          <m:sSubSupPr>
            <m:ctrlPr>
              <w:rPr>
                <w:rFonts w:ascii="Cambria Math" w:hAnsi="Cambria Math"/>
                <w:i/>
                <w:color w:val="595959" w:themeColor="text1" w:themeTint="A6"/>
                <w:sz w:val="16"/>
                <w:szCs w:val="16"/>
              </w:rPr>
            </m:ctrlPr>
          </m:sSubSupPr>
          <m:e>
            <m:r>
              <w:rPr>
                <w:rFonts w:ascii="Cambria Math" w:hAnsi="Cambria Math"/>
                <w:color w:val="595959" w:themeColor="text1" w:themeTint="A6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color w:val="595959" w:themeColor="text1" w:themeTint="A6"/>
                <w:sz w:val="16"/>
                <w:szCs w:val="16"/>
              </w:rPr>
              <m:t>H2</m:t>
            </m:r>
          </m:sub>
          <m:sup>
            <m:r>
              <w:rPr>
                <w:rFonts w:ascii="Cambria Math" w:hAnsi="Cambria Math"/>
                <w:color w:val="595959" w:themeColor="text1" w:themeTint="A6"/>
                <w:sz w:val="16"/>
                <w:szCs w:val="16"/>
              </w:rPr>
              <m:t>0,961</m:t>
            </m:r>
          </m:sup>
        </m:sSubSup>
      </m:oMath>
      <w:r w:rsidR="00880A15" w:rsidRPr="00880A15">
        <w:rPr>
          <w:rFonts w:eastAsiaTheme="minorEastAsia"/>
          <w:color w:val="595959" w:themeColor="text1" w:themeTint="A6"/>
          <w:sz w:val="16"/>
          <w:szCs w:val="16"/>
        </w:rPr>
        <w:t>, kde V</w:t>
      </w:r>
      <w:r w:rsidR="00880A15" w:rsidRPr="00880A15">
        <w:rPr>
          <w:rFonts w:eastAsiaTheme="minorEastAsia"/>
          <w:color w:val="595959" w:themeColor="text1" w:themeTint="A6"/>
          <w:sz w:val="16"/>
          <w:szCs w:val="16"/>
          <w:vertAlign w:val="subscript"/>
        </w:rPr>
        <w:t>H2</w:t>
      </w:r>
      <w:r w:rsidR="00880A15" w:rsidRPr="00880A15">
        <w:rPr>
          <w:rFonts w:eastAsiaTheme="minorEastAsia"/>
          <w:color w:val="595959" w:themeColor="text1" w:themeTint="A6"/>
          <w:sz w:val="16"/>
          <w:szCs w:val="16"/>
        </w:rPr>
        <w:t xml:space="preserve"> je</w:t>
      </w:r>
      <w:r w:rsidR="00880A15" w:rsidRPr="00880A15">
        <w:rPr>
          <w:color w:val="595959" w:themeColor="text1" w:themeTint="A6"/>
          <w:sz w:val="16"/>
          <w:szCs w:val="16"/>
        </w:rPr>
        <w:t xml:space="preserve"> nominální výrobní kapacita elektrolyzéru v Nm</w:t>
      </w:r>
      <w:r w:rsidR="00880A15" w:rsidRPr="00880A15">
        <w:rPr>
          <w:color w:val="595959" w:themeColor="text1" w:themeTint="A6"/>
          <w:sz w:val="16"/>
          <w:szCs w:val="16"/>
          <w:vertAlign w:val="superscript"/>
        </w:rPr>
        <w:t>3</w:t>
      </w:r>
      <w:r w:rsidR="00880A15" w:rsidRPr="00880A15">
        <w:rPr>
          <w:color w:val="595959" w:themeColor="text1" w:themeTint="A6"/>
          <w:sz w:val="16"/>
          <w:szCs w:val="16"/>
        </w:rPr>
        <w:t>/h</w:t>
      </w:r>
      <w:r w:rsidR="00CA087E">
        <w:rPr>
          <w:color w:val="595959" w:themeColor="text1" w:themeTint="A6"/>
          <w:sz w:val="16"/>
          <w:szCs w:val="16"/>
        </w:rPr>
        <w:t xml:space="preserve">. </w:t>
      </w:r>
    </w:p>
    <w:p w14:paraId="043F362D" w14:textId="77777777" w:rsidR="00E50494" w:rsidRPr="00346EB6" w:rsidRDefault="00E50494" w:rsidP="00B516A3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</w:p>
  </w:footnote>
  <w:footnote w:id="5">
    <w:p w14:paraId="53A02F2F" w14:textId="17CB931E" w:rsidR="000E40F3" w:rsidRPr="000E40F3" w:rsidRDefault="000C538F" w:rsidP="000C538F">
      <w:pPr>
        <w:pStyle w:val="Textpoznpodarou"/>
        <w:rPr>
          <w:color w:val="244061" w:themeColor="accent1" w:themeShade="80"/>
          <w:sz w:val="16"/>
          <w:szCs w:val="16"/>
        </w:rPr>
      </w:pPr>
      <w:r w:rsidRPr="000B0A25">
        <w:rPr>
          <w:rStyle w:val="Znakapoznpodarou"/>
          <w:b/>
          <w:bCs/>
          <w:color w:val="595959" w:themeColor="text1" w:themeTint="A6"/>
          <w:sz w:val="18"/>
          <w:szCs w:val="18"/>
        </w:rPr>
        <w:footnoteRef/>
      </w:r>
      <w:r w:rsidRPr="000B0A25">
        <w:rPr>
          <w:b/>
          <w:bCs/>
          <w:color w:val="595959" w:themeColor="text1" w:themeTint="A6"/>
        </w:rPr>
        <w:t xml:space="preserve"> </w:t>
      </w:r>
      <w:r w:rsidR="00E50494" w:rsidRPr="00E50494">
        <w:rPr>
          <w:color w:val="595959" w:themeColor="text1" w:themeTint="A6"/>
          <w:sz w:val="16"/>
          <w:szCs w:val="16"/>
        </w:rPr>
        <w:t xml:space="preserve">Zařízení vyrábějící elektřinu z obnovitelných zdrojů nebylo uvedeno do provozu dříve než 36 měsíců před uvedením elektrolyzéru do provozu. </w:t>
      </w:r>
      <w:r w:rsidR="00E50494" w:rsidRPr="00893379">
        <w:rPr>
          <w:b/>
          <w:bCs/>
          <w:color w:val="595959" w:themeColor="text1" w:themeTint="A6"/>
          <w:sz w:val="16"/>
          <w:szCs w:val="16"/>
        </w:rPr>
        <w:t>Toto pravidlo se neuplatňuje na zařízení produkující kapalné a plynné palivo z obnovitelných zdrojů nebiologického původu používané v odvětví dopravy</w:t>
      </w:r>
      <w:r w:rsidR="00E50494" w:rsidRPr="00E50494">
        <w:rPr>
          <w:color w:val="595959" w:themeColor="text1" w:themeTint="A6"/>
          <w:sz w:val="16"/>
          <w:szCs w:val="16"/>
        </w:rPr>
        <w:t>, která budou uvedena do provozu před 1. lednem 2028, resp. dle platného znění</w:t>
      </w:r>
      <w:r w:rsidR="000E40F3">
        <w:rPr>
          <w:color w:val="595959" w:themeColor="text1" w:themeTint="A6"/>
          <w:sz w:val="16"/>
          <w:szCs w:val="16"/>
        </w:rPr>
        <w:t xml:space="preserve"> </w:t>
      </w:r>
      <w:r w:rsidR="000E40F3" w:rsidRPr="000E40F3">
        <w:rPr>
          <w:color w:val="595959" w:themeColor="text1" w:themeTint="A6"/>
          <w:sz w:val="16"/>
          <w:szCs w:val="16"/>
        </w:rPr>
        <w:t xml:space="preserve">Nařízení </w:t>
      </w:r>
      <w:hyperlink r:id="rId1" w:history="1">
        <w:r w:rsidR="000E40F3" w:rsidRPr="000E40F3">
          <w:rPr>
            <w:rStyle w:val="Hypertextovodkaz"/>
            <w:color w:val="244061" w:themeColor="accent1" w:themeShade="80"/>
            <w:sz w:val="16"/>
            <w:szCs w:val="16"/>
          </w:rPr>
          <w:t>Komise v přenesené pravomoci (EU) 2023/1184 ze dne 10. února 2023, kterým se doplňuje směrnice Evropského parlamentu a Rady (EU) 2018/2001 stanovením unijní metodiky, v níž jsou vymezena podrobná pravidla pro výrobu kapalných a plynných paliv z obnovitelných zdrojů nebiologického původu používaných v odvětví dopravy</w:t>
        </w:r>
        <w:r w:rsidR="000E40F3" w:rsidRPr="000E40F3">
          <w:rPr>
            <w:rStyle w:val="Hypertextovodkaz"/>
            <w:color w:val="244061" w:themeColor="accent1" w:themeShade="80"/>
            <w:sz w:val="16"/>
            <w:szCs w:val="16"/>
          </w:rPr>
          <w:t xml:space="preserve">. </w:t>
        </w:r>
      </w:hyperlink>
      <w:r w:rsidR="00E50494" w:rsidRPr="000E40F3">
        <w:rPr>
          <w:color w:val="244061" w:themeColor="accent1" w:themeShade="80"/>
          <w:sz w:val="16"/>
          <w:szCs w:val="16"/>
        </w:rPr>
        <w:t xml:space="preserve"> </w:t>
      </w:r>
    </w:p>
    <w:p w14:paraId="19001DED" w14:textId="77777777" w:rsidR="00E50494" w:rsidRPr="00346EB6" w:rsidRDefault="00E50494" w:rsidP="000C538F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</w:p>
  </w:footnote>
  <w:footnote w:id="6">
    <w:p w14:paraId="16EA716C" w14:textId="77777777" w:rsidR="00803253" w:rsidRPr="004834DD" w:rsidRDefault="00803253" w:rsidP="00803253">
      <w:pPr>
        <w:pStyle w:val="Textpoznpodarou"/>
        <w:rPr>
          <w:sz w:val="18"/>
        </w:rPr>
      </w:pPr>
      <w:r w:rsidRPr="00803253">
        <w:rPr>
          <w:rStyle w:val="Znakapoznpodarou"/>
          <w:b/>
          <w:bCs/>
          <w:sz w:val="18"/>
          <w:szCs w:val="18"/>
        </w:rPr>
        <w:footnoteRef/>
      </w:r>
      <w:r w:rsidRPr="00803253">
        <w:rPr>
          <w:b/>
          <w:bCs/>
        </w:rPr>
        <w:t xml:space="preserve"> </w:t>
      </w:r>
      <w:r w:rsidRPr="00803253">
        <w:rPr>
          <w:color w:val="595959" w:themeColor="text1" w:themeTint="A6"/>
          <w:sz w:val="16"/>
          <w:szCs w:val="16"/>
        </w:rPr>
        <w:t>Konkrétně ČSN ISO 14687, třída D typ I nebo II v případě, že je uvažováno využití pro mobilní aplikace (plnění do vozidel), nebo ČSN ISO 14687 třída E kategorii 3 v případě, že je uvažováno použití vodíku v místě výroby.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374" w14:textId="77777777" w:rsidR="001C5D6E" w:rsidRDefault="001C0381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inline distT="0" distB="0" distL="0" distR="0" wp14:anchorId="177F4A68" wp14:editId="095629EA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743AE"/>
    <w:multiLevelType w:val="hybridMultilevel"/>
    <w:tmpl w:val="7CF65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5181">
    <w:abstractNumId w:val="11"/>
  </w:num>
  <w:num w:numId="2" w16cid:durableId="358942172">
    <w:abstractNumId w:val="9"/>
  </w:num>
  <w:num w:numId="3" w16cid:durableId="118455885">
    <w:abstractNumId w:val="1"/>
  </w:num>
  <w:num w:numId="4" w16cid:durableId="1649825163">
    <w:abstractNumId w:val="0"/>
  </w:num>
  <w:num w:numId="5" w16cid:durableId="2132356300">
    <w:abstractNumId w:val="3"/>
  </w:num>
  <w:num w:numId="6" w16cid:durableId="1830976173">
    <w:abstractNumId w:val="12"/>
  </w:num>
  <w:num w:numId="7" w16cid:durableId="1241793254">
    <w:abstractNumId w:val="2"/>
  </w:num>
  <w:num w:numId="8" w16cid:durableId="1900823379">
    <w:abstractNumId w:val="4"/>
  </w:num>
  <w:num w:numId="9" w16cid:durableId="51656288">
    <w:abstractNumId w:val="10"/>
  </w:num>
  <w:num w:numId="10" w16cid:durableId="1348168319">
    <w:abstractNumId w:val="7"/>
  </w:num>
  <w:num w:numId="11" w16cid:durableId="1295869249">
    <w:abstractNumId w:val="8"/>
  </w:num>
  <w:num w:numId="12" w16cid:durableId="1005134824">
    <w:abstractNumId w:val="6"/>
  </w:num>
  <w:num w:numId="13" w16cid:durableId="1401171915">
    <w:abstractNumId w:val="5"/>
  </w:num>
  <w:num w:numId="14" w16cid:durableId="941301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429E7"/>
    <w:rsid w:val="00046590"/>
    <w:rsid w:val="00055D5A"/>
    <w:rsid w:val="00074306"/>
    <w:rsid w:val="00095322"/>
    <w:rsid w:val="000B0A25"/>
    <w:rsid w:val="000C0328"/>
    <w:rsid w:val="000C538F"/>
    <w:rsid w:val="000E40F3"/>
    <w:rsid w:val="000F5C0B"/>
    <w:rsid w:val="0014575A"/>
    <w:rsid w:val="001936A8"/>
    <w:rsid w:val="001C0381"/>
    <w:rsid w:val="001C5D6E"/>
    <w:rsid w:val="001D7B5A"/>
    <w:rsid w:val="0020548C"/>
    <w:rsid w:val="00235379"/>
    <w:rsid w:val="002E2626"/>
    <w:rsid w:val="0030338E"/>
    <w:rsid w:val="00310880"/>
    <w:rsid w:val="00346EB6"/>
    <w:rsid w:val="00366DD3"/>
    <w:rsid w:val="00373BE4"/>
    <w:rsid w:val="003A07DD"/>
    <w:rsid w:val="003C265F"/>
    <w:rsid w:val="003C5E7A"/>
    <w:rsid w:val="004357F4"/>
    <w:rsid w:val="004409FD"/>
    <w:rsid w:val="00447DA1"/>
    <w:rsid w:val="00462AF6"/>
    <w:rsid w:val="004A108C"/>
    <w:rsid w:val="004C4837"/>
    <w:rsid w:val="004F432E"/>
    <w:rsid w:val="00521952"/>
    <w:rsid w:val="0052726B"/>
    <w:rsid w:val="00541D29"/>
    <w:rsid w:val="00585074"/>
    <w:rsid w:val="005915BF"/>
    <w:rsid w:val="0059626A"/>
    <w:rsid w:val="00616239"/>
    <w:rsid w:val="006505C8"/>
    <w:rsid w:val="006C4C2E"/>
    <w:rsid w:val="00725DE8"/>
    <w:rsid w:val="007819F5"/>
    <w:rsid w:val="00784D09"/>
    <w:rsid w:val="00795045"/>
    <w:rsid w:val="007A6725"/>
    <w:rsid w:val="007E050E"/>
    <w:rsid w:val="00803253"/>
    <w:rsid w:val="00826486"/>
    <w:rsid w:val="00877CEE"/>
    <w:rsid w:val="00880A15"/>
    <w:rsid w:val="00893379"/>
    <w:rsid w:val="0089603F"/>
    <w:rsid w:val="00896F43"/>
    <w:rsid w:val="008C3791"/>
    <w:rsid w:val="008D43A3"/>
    <w:rsid w:val="008D6AD9"/>
    <w:rsid w:val="008D7345"/>
    <w:rsid w:val="008F7CAA"/>
    <w:rsid w:val="009344DF"/>
    <w:rsid w:val="00980C0F"/>
    <w:rsid w:val="009E21AB"/>
    <w:rsid w:val="00A43CA2"/>
    <w:rsid w:val="00A4454C"/>
    <w:rsid w:val="00A61351"/>
    <w:rsid w:val="00A6466E"/>
    <w:rsid w:val="00AC22F0"/>
    <w:rsid w:val="00AE7AF2"/>
    <w:rsid w:val="00B05A6D"/>
    <w:rsid w:val="00B16F5D"/>
    <w:rsid w:val="00B516A3"/>
    <w:rsid w:val="00BA3A31"/>
    <w:rsid w:val="00BB16C4"/>
    <w:rsid w:val="00BD14C7"/>
    <w:rsid w:val="00C52661"/>
    <w:rsid w:val="00C745BF"/>
    <w:rsid w:val="00C80C55"/>
    <w:rsid w:val="00C8466F"/>
    <w:rsid w:val="00CA087E"/>
    <w:rsid w:val="00CD1E04"/>
    <w:rsid w:val="00D55BD2"/>
    <w:rsid w:val="00D57073"/>
    <w:rsid w:val="00D928B1"/>
    <w:rsid w:val="00DB7312"/>
    <w:rsid w:val="00E14485"/>
    <w:rsid w:val="00E27ED6"/>
    <w:rsid w:val="00E31346"/>
    <w:rsid w:val="00E50494"/>
    <w:rsid w:val="00E96B9E"/>
    <w:rsid w:val="00EB4E8F"/>
    <w:rsid w:val="00EC0C24"/>
    <w:rsid w:val="00F34036"/>
    <w:rsid w:val="00FA0C6C"/>
    <w:rsid w:val="00FC6A10"/>
    <w:rsid w:val="00FC7B83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8359"/>
  <w15:docId w15:val="{8BFB314D-0244-44BD-8F0F-94FD71F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784D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A25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6A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fzp.cz/dokumenty/detail/?id=43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fzp.cz/dokumenty/detail/?id=43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CS/TXT/?uri=CELEX%3A32018L20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fzp.cz/dokumenty/detail/?id=430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CELEX:32023R11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Polak Bohdan</cp:lastModifiedBy>
  <cp:revision>2</cp:revision>
  <dcterms:created xsi:type="dcterms:W3CDTF">2025-01-17T20:17:00Z</dcterms:created>
  <dcterms:modified xsi:type="dcterms:W3CDTF">2025-01-17T20:17:00Z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